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37C9B" w14:textId="385CB234" w:rsidR="009C5D1B" w:rsidRPr="00F94044" w:rsidRDefault="009C5D1B" w:rsidP="009C5D1B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 w:rsidR="0003089A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7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AD7D1E" w:rsidRPr="00AD7D1E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R1-2112044</w:t>
      </w:r>
    </w:p>
    <w:p w14:paraId="054329EE" w14:textId="601B8479" w:rsidR="00D85BDC" w:rsidRDefault="00D85BDC" w:rsidP="00D85BDC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Online, 11 – 19 </w:t>
      </w:r>
      <w:r w:rsidR="0003089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November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3D4F0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0A987EE7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5336D3">
        <w:rPr>
          <w:rFonts w:ascii="Arial" w:hAnsi="Arial"/>
          <w:sz w:val="28"/>
          <w:szCs w:val="28"/>
          <w:lang w:val="en-US"/>
        </w:rPr>
        <w:t>5</w:t>
      </w:r>
      <w:r w:rsidR="008D0BD1">
        <w:rPr>
          <w:rFonts w:ascii="Arial" w:hAnsi="Arial"/>
          <w:sz w:val="28"/>
          <w:szCs w:val="28"/>
          <w:lang w:val="en-US"/>
        </w:rPr>
        <w:t>.2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2B73F02C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5336D3">
        <w:rPr>
          <w:rFonts w:ascii="Arial" w:hAnsi="Arial"/>
          <w:sz w:val="28"/>
          <w:szCs w:val="28"/>
        </w:rPr>
        <w:t>Discussion on P</w:t>
      </w:r>
      <w:r w:rsidR="005336D3" w:rsidRPr="005336D3">
        <w:rPr>
          <w:rFonts w:ascii="Arial" w:hAnsi="Arial"/>
          <w:sz w:val="28"/>
          <w:szCs w:val="28"/>
        </w:rPr>
        <w:t xml:space="preserve">hysical </w:t>
      </w:r>
      <w:r w:rsidR="005336D3">
        <w:rPr>
          <w:rFonts w:ascii="Arial" w:hAnsi="Arial"/>
          <w:sz w:val="28"/>
          <w:szCs w:val="28"/>
        </w:rPr>
        <w:t>L</w:t>
      </w:r>
      <w:r w:rsidR="005336D3" w:rsidRPr="005336D3">
        <w:rPr>
          <w:rFonts w:ascii="Arial" w:hAnsi="Arial"/>
          <w:sz w:val="28"/>
          <w:szCs w:val="28"/>
        </w:rPr>
        <w:t xml:space="preserve">ayer </w:t>
      </w:r>
      <w:r w:rsidR="005336D3">
        <w:rPr>
          <w:rFonts w:ascii="Arial" w:hAnsi="Arial"/>
          <w:sz w:val="28"/>
          <w:szCs w:val="28"/>
        </w:rPr>
        <w:t>A</w:t>
      </w:r>
      <w:r w:rsidR="005336D3" w:rsidRPr="005336D3">
        <w:rPr>
          <w:rFonts w:ascii="Arial" w:hAnsi="Arial"/>
          <w:sz w:val="28"/>
          <w:szCs w:val="28"/>
        </w:rPr>
        <w:t xml:space="preserve">spects of </w:t>
      </w:r>
      <w:r w:rsidR="005336D3">
        <w:rPr>
          <w:rFonts w:ascii="Arial" w:hAnsi="Arial"/>
          <w:sz w:val="28"/>
          <w:szCs w:val="28"/>
        </w:rPr>
        <w:t>S</w:t>
      </w:r>
      <w:r w:rsidR="005336D3" w:rsidRPr="005336D3">
        <w:rPr>
          <w:rFonts w:ascii="Arial" w:hAnsi="Arial"/>
          <w:sz w:val="28"/>
          <w:szCs w:val="28"/>
        </w:rPr>
        <w:t xml:space="preserve">mall </w:t>
      </w:r>
      <w:r w:rsidR="005336D3">
        <w:rPr>
          <w:rFonts w:ascii="Arial" w:hAnsi="Arial"/>
          <w:sz w:val="28"/>
          <w:szCs w:val="28"/>
        </w:rPr>
        <w:t>D</w:t>
      </w:r>
      <w:r w:rsidR="005336D3" w:rsidRPr="005336D3">
        <w:rPr>
          <w:rFonts w:ascii="Arial" w:hAnsi="Arial"/>
          <w:sz w:val="28"/>
          <w:szCs w:val="28"/>
        </w:rPr>
        <w:t xml:space="preserve">ata </w:t>
      </w:r>
      <w:r w:rsidR="005336D3">
        <w:rPr>
          <w:rFonts w:ascii="Arial" w:hAnsi="Arial"/>
          <w:sz w:val="28"/>
          <w:szCs w:val="28"/>
        </w:rPr>
        <w:t>T</w:t>
      </w:r>
      <w:r w:rsidR="005336D3" w:rsidRPr="005336D3">
        <w:rPr>
          <w:rFonts w:ascii="Arial" w:hAnsi="Arial"/>
          <w:sz w:val="28"/>
          <w:szCs w:val="28"/>
        </w:rPr>
        <w:t>ransmission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4CDFAC26" w:rsidR="0096249C" w:rsidRPr="00366097" w:rsidRDefault="0096249C" w:rsidP="00F26F9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>In this contribution, we discuss</w:t>
      </w:r>
      <w:r w:rsidR="004F610D">
        <w:rPr>
          <w:rFonts w:eastAsia="바탕"/>
          <w:sz w:val="22"/>
          <w:szCs w:val="22"/>
          <w:lang w:eastAsia="ko-KR"/>
        </w:rPr>
        <w:t xml:space="preserve"> some</w:t>
      </w:r>
      <w:r w:rsidRPr="00366097">
        <w:rPr>
          <w:rFonts w:eastAsia="바탕"/>
          <w:sz w:val="22"/>
          <w:szCs w:val="22"/>
          <w:lang w:eastAsia="ko-KR"/>
        </w:rPr>
        <w:t xml:space="preserve"> </w:t>
      </w:r>
      <w:r w:rsidR="004F610D">
        <w:rPr>
          <w:rFonts w:eastAsia="바탕"/>
          <w:sz w:val="22"/>
          <w:szCs w:val="22"/>
          <w:lang w:eastAsia="ko-KR"/>
        </w:rPr>
        <w:t xml:space="preserve">physical layer aspects of </w:t>
      </w:r>
      <w:r w:rsidR="00466121" w:rsidRPr="00466121">
        <w:rPr>
          <w:rFonts w:eastAsia="바탕"/>
          <w:sz w:val="22"/>
          <w:szCs w:val="22"/>
          <w:lang w:eastAsia="ko-KR"/>
        </w:rPr>
        <w:t>Small Data Transmission</w:t>
      </w:r>
      <w:r w:rsidR="0014251F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1AB604C7" w14:textId="42E8449D" w:rsidR="0003089A" w:rsidRDefault="0003089A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RAN1 </w:t>
      </w:r>
      <w:r>
        <w:rPr>
          <w:rFonts w:eastAsia="바탕"/>
          <w:sz w:val="22"/>
          <w:szCs w:val="22"/>
          <w:lang w:eastAsia="ko-KR"/>
        </w:rPr>
        <w:t xml:space="preserve">sent a </w:t>
      </w:r>
      <w:r w:rsidRPr="0003089A">
        <w:rPr>
          <w:rFonts w:eastAsia="바탕"/>
          <w:sz w:val="22"/>
          <w:szCs w:val="22"/>
          <w:lang w:eastAsia="ko-KR"/>
        </w:rPr>
        <w:t>Reply LS</w:t>
      </w:r>
      <w:r>
        <w:rPr>
          <w:rFonts w:eastAsia="바탕"/>
          <w:sz w:val="22"/>
          <w:szCs w:val="22"/>
          <w:lang w:eastAsia="ko-KR"/>
        </w:rPr>
        <w:t xml:space="preserve"> to RAN2</w:t>
      </w:r>
      <w:r w:rsidRPr="0003089A">
        <w:rPr>
          <w:rFonts w:eastAsia="바탕"/>
          <w:sz w:val="22"/>
          <w:szCs w:val="22"/>
          <w:lang w:eastAsia="ko-KR"/>
        </w:rPr>
        <w:t xml:space="preserve"> on the physical layer aspe</w:t>
      </w:r>
      <w:r>
        <w:rPr>
          <w:rFonts w:eastAsia="바탕"/>
          <w:sz w:val="22"/>
          <w:szCs w:val="22"/>
          <w:lang w:eastAsia="ko-KR"/>
        </w:rPr>
        <w:t xml:space="preserve">cts of small data transmission in </w:t>
      </w:r>
      <w:r w:rsidRPr="0003089A">
        <w:rPr>
          <w:rFonts w:eastAsia="바탕"/>
          <w:sz w:val="22"/>
          <w:szCs w:val="22"/>
          <w:lang w:eastAsia="ko-KR"/>
        </w:rPr>
        <w:t>R1-2110661</w:t>
      </w:r>
      <w:r>
        <w:rPr>
          <w:rFonts w:eastAsia="바탕"/>
          <w:sz w:val="22"/>
          <w:szCs w:val="22"/>
          <w:lang w:eastAsia="ko-KR"/>
        </w:rPr>
        <w:t>. The LS includes the following answer: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9349"/>
      </w:tblGrid>
      <w:tr w:rsidR="0003089A" w14:paraId="1BA8238C" w14:textId="77777777" w:rsidTr="0003089A">
        <w:tc>
          <w:tcPr>
            <w:tcW w:w="9349" w:type="dxa"/>
          </w:tcPr>
          <w:p w14:paraId="1C68724D" w14:textId="77777777" w:rsidR="0003089A" w:rsidRPr="0003089A" w:rsidRDefault="0003089A" w:rsidP="0003089A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  <w:r w:rsidRPr="0003089A">
              <w:rPr>
                <w:color w:val="000000"/>
                <w:sz w:val="22"/>
                <w:szCs w:val="22"/>
              </w:rPr>
              <w:t xml:space="preserve">Q4: Do RAN1 have any concerns to support RA-SDT on the non-initial BWP? </w:t>
            </w:r>
          </w:p>
          <w:p w14:paraId="6DF5C68B" w14:textId="77777777" w:rsidR="0003089A" w:rsidRPr="0003089A" w:rsidRDefault="0003089A" w:rsidP="0003089A">
            <w:pPr>
              <w:widowControl w:val="0"/>
              <w:spacing w:after="0"/>
              <w:rPr>
                <w:sz w:val="22"/>
                <w:szCs w:val="22"/>
              </w:rPr>
            </w:pPr>
            <w:r w:rsidRPr="0003089A">
              <w:rPr>
                <w:color w:val="000000"/>
                <w:sz w:val="22"/>
                <w:szCs w:val="22"/>
              </w:rPr>
              <w:t xml:space="preserve">NOTE: It has already been agreed in RAN2 that </w:t>
            </w:r>
            <w:r w:rsidRPr="0003089A">
              <w:rPr>
                <w:i/>
                <w:iCs/>
                <w:sz w:val="22"/>
                <w:szCs w:val="22"/>
              </w:rPr>
              <w:t>CG-SDT resource can be configured on either initial BWP or separate SDT BWP</w:t>
            </w:r>
            <w:r w:rsidRPr="0003089A">
              <w:rPr>
                <w:sz w:val="22"/>
                <w:szCs w:val="22"/>
              </w:rPr>
              <w:t>, if confirmed by RAN1.</w:t>
            </w:r>
          </w:p>
          <w:p w14:paraId="7A4795DD" w14:textId="77777777" w:rsidR="0003089A" w:rsidRPr="0003089A" w:rsidRDefault="0003089A" w:rsidP="0003089A">
            <w:pPr>
              <w:widowControl w:val="0"/>
              <w:spacing w:after="0"/>
              <w:rPr>
                <w:sz w:val="22"/>
                <w:szCs w:val="22"/>
                <w:lang w:val="en-US" w:eastAsia="zh-CN"/>
              </w:rPr>
            </w:pPr>
            <w:r w:rsidRPr="0003089A">
              <w:rPr>
                <w:rFonts w:hint="eastAsia"/>
                <w:sz w:val="22"/>
                <w:szCs w:val="22"/>
                <w:lang w:val="en-US" w:eastAsia="zh-CN"/>
              </w:rPr>
              <w:t>A4:</w:t>
            </w:r>
          </w:p>
          <w:p w14:paraId="274D3CDE" w14:textId="77777777" w:rsidR="0003089A" w:rsidRPr="0003089A" w:rsidRDefault="0003089A" w:rsidP="0003089A">
            <w:pPr>
              <w:numPr>
                <w:ilvl w:val="0"/>
                <w:numId w:val="25"/>
              </w:numPr>
              <w:spacing w:before="0" w:after="160" w:line="259" w:lineRule="auto"/>
              <w:jc w:val="left"/>
              <w:rPr>
                <w:sz w:val="22"/>
                <w:szCs w:val="22"/>
                <w:lang w:eastAsia="zh-CN"/>
              </w:rPr>
            </w:pPr>
            <w:r w:rsidRPr="0003089A">
              <w:rPr>
                <w:rFonts w:hint="eastAsia"/>
                <w:sz w:val="22"/>
                <w:szCs w:val="22"/>
                <w:lang w:val="en-US" w:eastAsia="zh-CN"/>
              </w:rPr>
              <w:t>It</w:t>
            </w:r>
            <w:r w:rsidRPr="0003089A">
              <w:rPr>
                <w:sz w:val="22"/>
                <w:szCs w:val="22"/>
                <w:lang w:val="en-US" w:eastAsia="zh-CN"/>
              </w:rPr>
              <w:t>’</w:t>
            </w:r>
            <w:r w:rsidRPr="0003089A">
              <w:rPr>
                <w:rFonts w:hint="eastAsia"/>
                <w:sz w:val="22"/>
                <w:szCs w:val="22"/>
                <w:lang w:val="en-US" w:eastAsia="zh-CN"/>
              </w:rPr>
              <w:t>s RAN1</w:t>
            </w:r>
            <w:r w:rsidRPr="0003089A">
              <w:rPr>
                <w:sz w:val="22"/>
                <w:szCs w:val="22"/>
                <w:lang w:val="en-US" w:eastAsia="zh-CN"/>
              </w:rPr>
              <w:t>’</w:t>
            </w:r>
            <w:r w:rsidRPr="0003089A">
              <w:rPr>
                <w:rFonts w:hint="eastAsia"/>
                <w:sz w:val="22"/>
                <w:szCs w:val="22"/>
                <w:lang w:val="en-US" w:eastAsia="zh-CN"/>
              </w:rPr>
              <w:t xml:space="preserve">s common understanding that </w:t>
            </w:r>
            <w:r w:rsidRPr="0003089A">
              <w:rPr>
                <w:rFonts w:hint="eastAsia"/>
                <w:sz w:val="22"/>
                <w:szCs w:val="22"/>
                <w:lang w:eastAsia="zh-CN"/>
              </w:rPr>
              <w:t xml:space="preserve">RA-SDT resource cannot be configured </w:t>
            </w:r>
            <w:r w:rsidRPr="00790EF9">
              <w:rPr>
                <w:rFonts w:hint="eastAsia"/>
                <w:sz w:val="22"/>
                <w:szCs w:val="22"/>
                <w:highlight w:val="yellow"/>
                <w:lang w:eastAsia="zh-CN"/>
              </w:rPr>
              <w:t>on non-initial BWP.</w:t>
            </w:r>
          </w:p>
          <w:p w14:paraId="02A55485" w14:textId="11A21153" w:rsidR="0003089A" w:rsidRPr="0003089A" w:rsidRDefault="0003089A" w:rsidP="0003089A">
            <w:pPr>
              <w:numPr>
                <w:ilvl w:val="0"/>
                <w:numId w:val="26"/>
              </w:numPr>
              <w:spacing w:before="0" w:after="160" w:line="259" w:lineRule="auto"/>
              <w:jc w:val="left"/>
              <w:rPr>
                <w:sz w:val="22"/>
                <w:szCs w:val="22"/>
                <w:lang w:eastAsia="zh-CN"/>
              </w:rPr>
            </w:pPr>
            <w:r w:rsidRPr="0003089A">
              <w:rPr>
                <w:rFonts w:hint="eastAsia"/>
                <w:sz w:val="22"/>
                <w:szCs w:val="22"/>
                <w:lang w:eastAsia="zh-CN"/>
              </w:rPr>
              <w:t xml:space="preserve">RAN1 cannot reach a consensus on whether to confirm RAN2 agreement </w:t>
            </w:r>
            <w:r w:rsidRPr="0003089A">
              <w:rPr>
                <w:rFonts w:hint="eastAsia"/>
                <w:iCs/>
                <w:sz w:val="22"/>
                <w:szCs w:val="22"/>
                <w:lang w:eastAsia="zh-CN"/>
              </w:rPr>
              <w:t xml:space="preserve">that </w:t>
            </w:r>
            <w:r w:rsidRPr="0003089A">
              <w:rPr>
                <w:iCs/>
                <w:sz w:val="22"/>
                <w:szCs w:val="22"/>
              </w:rPr>
              <w:t xml:space="preserve">CG-SDT resource can be configured on </w:t>
            </w:r>
            <w:r w:rsidRPr="00790EF9">
              <w:rPr>
                <w:iCs/>
                <w:sz w:val="22"/>
                <w:szCs w:val="22"/>
                <w:highlight w:val="yellow"/>
              </w:rPr>
              <w:t>separate SDT BWP</w:t>
            </w:r>
            <w:r w:rsidRPr="0003089A">
              <w:rPr>
                <w:rFonts w:hint="eastAsia"/>
                <w:iCs/>
                <w:sz w:val="22"/>
                <w:szCs w:val="22"/>
                <w:lang w:val="en-US" w:eastAsia="zh-CN"/>
              </w:rPr>
              <w:t xml:space="preserve"> with the concern on necessity</w:t>
            </w:r>
            <w:r w:rsidRPr="0003089A">
              <w:rPr>
                <w:iCs/>
                <w:sz w:val="22"/>
                <w:szCs w:val="22"/>
              </w:rPr>
              <w:t>.</w:t>
            </w:r>
          </w:p>
        </w:tc>
      </w:tr>
    </w:tbl>
    <w:p w14:paraId="22EF416F" w14:textId="77777777" w:rsidR="0003089A" w:rsidRPr="0003089A" w:rsidRDefault="0003089A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53E21292" w14:textId="6C08E1E4" w:rsidR="0003089A" w:rsidRDefault="00DF4DC8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Meanwhile,</w:t>
      </w:r>
      <w:r>
        <w:rPr>
          <w:rFonts w:eastAsia="바탕"/>
          <w:sz w:val="22"/>
          <w:szCs w:val="22"/>
          <w:lang w:eastAsia="ko-KR"/>
        </w:rPr>
        <w:t xml:space="preserve"> RAN1 agreed to support </w:t>
      </w:r>
      <w:r w:rsidRPr="00DF4DC8">
        <w:rPr>
          <w:rFonts w:eastAsia="바탕"/>
          <w:sz w:val="22"/>
          <w:szCs w:val="22"/>
          <w:lang w:eastAsia="ko-KR"/>
        </w:rPr>
        <w:t>a separate initial UL BWP for RedCap UEs</w:t>
      </w:r>
      <w:r>
        <w:rPr>
          <w:rFonts w:eastAsia="바탕"/>
          <w:sz w:val="22"/>
          <w:szCs w:val="22"/>
          <w:lang w:eastAsia="ko-KR"/>
        </w:rPr>
        <w:t xml:space="preserve"> in WI RedCap.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9349"/>
      </w:tblGrid>
      <w:tr w:rsidR="00DF4DC8" w14:paraId="00DFD898" w14:textId="77777777" w:rsidTr="00DF4DC8">
        <w:tc>
          <w:tcPr>
            <w:tcW w:w="9349" w:type="dxa"/>
          </w:tcPr>
          <w:p w14:paraId="2684E9C8" w14:textId="77777777" w:rsidR="00DF4DC8" w:rsidRPr="007C5B1A" w:rsidRDefault="00DF4DC8" w:rsidP="00DF4DC8">
            <w:pPr>
              <w:rPr>
                <w:b/>
                <w:highlight w:val="green"/>
              </w:rPr>
            </w:pPr>
            <w:r w:rsidRPr="007C5B1A">
              <w:rPr>
                <w:b/>
                <w:highlight w:val="green"/>
              </w:rPr>
              <w:t>Agreement</w:t>
            </w:r>
          </w:p>
          <w:p w14:paraId="540957BA" w14:textId="77777777" w:rsidR="00DF4DC8" w:rsidRPr="00DF4DC8" w:rsidRDefault="00DF4DC8" w:rsidP="00DF4DC8">
            <w:pPr>
              <w:pStyle w:val="a0"/>
              <w:numPr>
                <w:ilvl w:val="0"/>
                <w:numId w:val="27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Cs w:val="20"/>
                <w:lang w:val="en-US"/>
              </w:rPr>
            </w:pPr>
            <w:r w:rsidRPr="00DF4DC8">
              <w:rPr>
                <w:szCs w:val="20"/>
                <w:lang w:val="en-US"/>
              </w:rPr>
              <w:t xml:space="preserve">For a cell that allows a RedCap UE to access, network can configure </w:t>
            </w:r>
            <w:r w:rsidRPr="00790EF9">
              <w:rPr>
                <w:szCs w:val="20"/>
                <w:highlight w:val="yellow"/>
                <w:lang w:val="en-US"/>
              </w:rPr>
              <w:t>a separate initial UL BWP for RedCap UEs</w:t>
            </w:r>
            <w:r w:rsidRPr="00DF4DC8">
              <w:rPr>
                <w:szCs w:val="20"/>
                <w:lang w:val="en-US"/>
              </w:rPr>
              <w:t xml:space="preserve"> in SIB</w:t>
            </w:r>
          </w:p>
          <w:p w14:paraId="05775726" w14:textId="77777777" w:rsidR="00DF4DC8" w:rsidRPr="00DF4DC8" w:rsidRDefault="00DF4DC8" w:rsidP="00DF4DC8">
            <w:pPr>
              <w:pStyle w:val="a0"/>
              <w:numPr>
                <w:ilvl w:val="1"/>
                <w:numId w:val="27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Cs w:val="20"/>
              </w:rPr>
            </w:pPr>
            <w:r w:rsidRPr="00DF4DC8">
              <w:rPr>
                <w:szCs w:val="20"/>
              </w:rPr>
              <w:t>It can be used both during and after initial access.</w:t>
            </w:r>
          </w:p>
          <w:p w14:paraId="4E56FD0F" w14:textId="77777777" w:rsidR="00DF4DC8" w:rsidRPr="00DF4DC8" w:rsidRDefault="00DF4DC8" w:rsidP="00DF4DC8">
            <w:pPr>
              <w:pStyle w:val="a0"/>
              <w:numPr>
                <w:ilvl w:val="1"/>
                <w:numId w:val="27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Cs w:val="20"/>
              </w:rPr>
            </w:pPr>
            <w:r w:rsidRPr="00DF4DC8">
              <w:rPr>
                <w:szCs w:val="20"/>
                <w:lang w:val="en-US"/>
              </w:rPr>
              <w:t>It is no wider than the maximum RedCap UE bandwidth.</w:t>
            </w:r>
          </w:p>
          <w:p w14:paraId="7A370163" w14:textId="77777777" w:rsidR="00DF4DC8" w:rsidRPr="00DF4DC8" w:rsidRDefault="00DF4DC8" w:rsidP="00DF4DC8">
            <w:pPr>
              <w:pStyle w:val="a0"/>
              <w:numPr>
                <w:ilvl w:val="1"/>
                <w:numId w:val="27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Cs w:val="20"/>
              </w:rPr>
            </w:pPr>
            <w:r w:rsidRPr="00DF4DC8">
              <w:rPr>
                <w:szCs w:val="20"/>
              </w:rPr>
              <w:t>It is always configured if the initial UL BWP for non-RedCap UEs is wider than the maximum RedCap UE bandwidth</w:t>
            </w:r>
          </w:p>
          <w:p w14:paraId="5FF6246A" w14:textId="65389E36" w:rsidR="00DF4DC8" w:rsidRPr="00DF4DC8" w:rsidRDefault="00DF4DC8" w:rsidP="00DF4DC8">
            <w:pPr>
              <w:pStyle w:val="a0"/>
              <w:numPr>
                <w:ilvl w:val="1"/>
                <w:numId w:val="27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Cs w:val="20"/>
                <w:lang w:val="en-US"/>
              </w:rPr>
            </w:pPr>
            <w:r w:rsidRPr="00DF4DC8">
              <w:rPr>
                <w:bCs/>
                <w:szCs w:val="20"/>
                <w:lang w:val="en-US"/>
              </w:rPr>
              <w:lastRenderedPageBreak/>
              <w:t>This applies to both TDD and FDD (including FD FDD and HD FDD) cases</w:t>
            </w:r>
          </w:p>
        </w:tc>
      </w:tr>
    </w:tbl>
    <w:p w14:paraId="3EA3BC87" w14:textId="77777777" w:rsidR="00DF4DC8" w:rsidRPr="00DF4DC8" w:rsidRDefault="00DF4DC8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p w14:paraId="64D052FC" w14:textId="77777777" w:rsidR="00CA4290" w:rsidRDefault="00DF4DC8" w:rsidP="00EB1CB7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Considering </w:t>
      </w:r>
      <w:r>
        <w:rPr>
          <w:rFonts w:eastAsia="바탕"/>
          <w:sz w:val="22"/>
          <w:szCs w:val="22"/>
          <w:lang w:eastAsia="ko-KR"/>
        </w:rPr>
        <w:t xml:space="preserve">the above LS and </w:t>
      </w:r>
      <w:r>
        <w:rPr>
          <w:rFonts w:eastAsia="바탕" w:hint="eastAsia"/>
          <w:sz w:val="22"/>
          <w:szCs w:val="22"/>
          <w:lang w:eastAsia="ko-KR"/>
        </w:rPr>
        <w:t xml:space="preserve">the above agreement </w:t>
      </w:r>
      <w:r>
        <w:rPr>
          <w:rFonts w:eastAsia="바탕"/>
          <w:sz w:val="22"/>
          <w:szCs w:val="22"/>
          <w:lang w:eastAsia="ko-KR"/>
        </w:rPr>
        <w:t xml:space="preserve">from RAN1, it </w:t>
      </w:r>
      <w:r w:rsidR="00EB1CB7">
        <w:rPr>
          <w:rFonts w:eastAsia="바탕"/>
          <w:sz w:val="22"/>
          <w:szCs w:val="22"/>
          <w:lang w:eastAsia="ko-KR"/>
        </w:rPr>
        <w:t>is un</w:t>
      </w:r>
      <w:r>
        <w:rPr>
          <w:rFonts w:eastAsia="바탕"/>
          <w:sz w:val="22"/>
          <w:szCs w:val="22"/>
          <w:lang w:eastAsia="ko-KR"/>
        </w:rPr>
        <w:t xml:space="preserve">clear </w:t>
      </w:r>
      <w:r w:rsidR="00EB1CB7">
        <w:rPr>
          <w:rFonts w:eastAsia="바탕"/>
          <w:sz w:val="22"/>
          <w:szCs w:val="22"/>
          <w:lang w:eastAsia="ko-KR"/>
        </w:rPr>
        <w:t xml:space="preserve">whether gNB can configure RA-SDT for </w:t>
      </w:r>
      <w:r w:rsidR="00EB1CB7" w:rsidRPr="00EB1CB7">
        <w:rPr>
          <w:rFonts w:eastAsia="바탕"/>
          <w:sz w:val="22"/>
          <w:szCs w:val="22"/>
          <w:lang w:eastAsia="ko-KR"/>
        </w:rPr>
        <w:t>a separate initial UL BWP for RedCap UEs</w:t>
      </w:r>
      <w:r w:rsidR="00EB1CB7">
        <w:rPr>
          <w:rFonts w:eastAsia="바탕"/>
          <w:sz w:val="22"/>
          <w:szCs w:val="22"/>
          <w:lang w:eastAsia="ko-KR"/>
        </w:rPr>
        <w:t xml:space="preserve">. In other words, it is unclear whether RedCap UE can perform RA-SDT in </w:t>
      </w:r>
      <w:r w:rsidR="00EB1CB7" w:rsidRPr="00EB1CB7">
        <w:rPr>
          <w:rFonts w:eastAsia="바탕"/>
          <w:sz w:val="22"/>
          <w:szCs w:val="22"/>
          <w:lang w:eastAsia="ko-KR"/>
        </w:rPr>
        <w:t>a separate initial UL BWP for RedCap UEs</w:t>
      </w:r>
      <w:r w:rsidR="00EB1CB7">
        <w:rPr>
          <w:rFonts w:eastAsia="바탕"/>
          <w:sz w:val="22"/>
          <w:szCs w:val="22"/>
          <w:lang w:eastAsia="ko-KR"/>
        </w:rPr>
        <w:t xml:space="preserve">. To our understanding, if a separate initial BWP is configured, RedCap UE could not perform RACH on the legacy initial BWP </w:t>
      </w:r>
      <w:r w:rsidR="00EB1CB7" w:rsidRPr="00EB1CB7">
        <w:rPr>
          <w:rFonts w:eastAsia="바탕"/>
          <w:sz w:val="22"/>
          <w:szCs w:val="22"/>
          <w:lang w:eastAsia="ko-KR"/>
        </w:rPr>
        <w:t xml:space="preserve">for non-RedCap UEs </w:t>
      </w:r>
      <w:r w:rsidR="00EB1CB7">
        <w:rPr>
          <w:rFonts w:eastAsia="바탕"/>
          <w:sz w:val="22"/>
          <w:szCs w:val="22"/>
          <w:lang w:eastAsia="ko-KR"/>
        </w:rPr>
        <w:t xml:space="preserve">because </w:t>
      </w:r>
      <w:r w:rsidR="00EB1CB7" w:rsidRPr="00EB1CB7">
        <w:rPr>
          <w:rFonts w:eastAsia="바탕"/>
          <w:sz w:val="22"/>
          <w:szCs w:val="22"/>
          <w:lang w:eastAsia="ko-KR"/>
        </w:rPr>
        <w:t xml:space="preserve">the </w:t>
      </w:r>
      <w:r w:rsidR="00EB1CB7">
        <w:rPr>
          <w:rFonts w:eastAsia="바탕"/>
          <w:sz w:val="22"/>
          <w:szCs w:val="22"/>
          <w:lang w:eastAsia="ko-KR"/>
        </w:rPr>
        <w:t xml:space="preserve">legacy </w:t>
      </w:r>
      <w:r w:rsidR="00EB1CB7" w:rsidRPr="00EB1CB7">
        <w:rPr>
          <w:rFonts w:eastAsia="바탕"/>
          <w:sz w:val="22"/>
          <w:szCs w:val="22"/>
          <w:lang w:eastAsia="ko-KR"/>
        </w:rPr>
        <w:t>initial UL BWP for non-RedCap UEs is wider than the maximum RedCap UE bandwidth</w:t>
      </w:r>
      <w:r w:rsidR="00EB1CB7">
        <w:rPr>
          <w:rFonts w:eastAsia="바탕"/>
          <w:sz w:val="22"/>
          <w:szCs w:val="22"/>
          <w:lang w:eastAsia="ko-KR"/>
        </w:rPr>
        <w:t>.</w:t>
      </w:r>
      <w:r w:rsidR="00790EF9">
        <w:rPr>
          <w:rFonts w:eastAsia="바탕"/>
          <w:sz w:val="22"/>
          <w:szCs w:val="22"/>
          <w:lang w:eastAsia="ko-KR"/>
        </w:rPr>
        <w:t xml:space="preserve"> </w:t>
      </w:r>
    </w:p>
    <w:p w14:paraId="44E4FE6F" w14:textId="70D35458" w:rsidR="00EB1CB7" w:rsidRDefault="00CA4290" w:rsidP="00EB1CB7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Accordingly, RAN1 could clarify whether RedCap UE supports RA-SDT in Rel-17. If RedCap UE supports RA-SDT in Rel-17,</w:t>
      </w:r>
      <w:r w:rsidR="00790EF9">
        <w:rPr>
          <w:rFonts w:eastAsia="바탕"/>
          <w:sz w:val="22"/>
          <w:szCs w:val="22"/>
          <w:lang w:eastAsia="ko-KR"/>
        </w:rPr>
        <w:t xml:space="preserve"> RAN1 could </w:t>
      </w:r>
      <w:r>
        <w:rPr>
          <w:rFonts w:eastAsia="바탕"/>
          <w:sz w:val="22"/>
          <w:szCs w:val="22"/>
          <w:lang w:eastAsia="ko-KR"/>
        </w:rPr>
        <w:t xml:space="preserve">further </w:t>
      </w:r>
      <w:r w:rsidR="00790EF9">
        <w:rPr>
          <w:rFonts w:eastAsia="바탕"/>
          <w:sz w:val="22"/>
          <w:szCs w:val="22"/>
          <w:lang w:eastAsia="ko-KR"/>
        </w:rPr>
        <w:t>d</w:t>
      </w:r>
      <w:r w:rsidR="00790EF9" w:rsidRPr="00790EF9">
        <w:rPr>
          <w:rFonts w:eastAsia="바탕"/>
          <w:sz w:val="22"/>
          <w:szCs w:val="22"/>
          <w:lang w:eastAsia="ko-KR"/>
        </w:rPr>
        <w:t xml:space="preserve">iscuss whether RA-SDT </w:t>
      </w:r>
      <w:r>
        <w:rPr>
          <w:rFonts w:eastAsia="바탕"/>
          <w:sz w:val="22"/>
          <w:szCs w:val="22"/>
          <w:lang w:eastAsia="ko-KR"/>
        </w:rPr>
        <w:t>can be</w:t>
      </w:r>
      <w:r w:rsidR="00790EF9" w:rsidRPr="00790EF9">
        <w:rPr>
          <w:rFonts w:eastAsia="바탕"/>
          <w:sz w:val="22"/>
          <w:szCs w:val="22"/>
          <w:lang w:eastAsia="ko-KR"/>
        </w:rPr>
        <w:t xml:space="preserve"> supported </w:t>
      </w:r>
      <w:r>
        <w:rPr>
          <w:rFonts w:eastAsia="바탕"/>
          <w:sz w:val="22"/>
          <w:szCs w:val="22"/>
          <w:lang w:eastAsia="ko-KR"/>
        </w:rPr>
        <w:t>in</w:t>
      </w:r>
      <w:r w:rsidR="00790EF9" w:rsidRPr="00790EF9">
        <w:rPr>
          <w:rFonts w:eastAsia="바탕"/>
          <w:sz w:val="22"/>
          <w:szCs w:val="22"/>
          <w:lang w:eastAsia="ko-KR"/>
        </w:rPr>
        <w:t xml:space="preserve"> a separate initial UL BWP for RedCap UEs.</w:t>
      </w:r>
    </w:p>
    <w:p w14:paraId="1563F155" w14:textId="428EB39B" w:rsidR="00EB1CB7" w:rsidRPr="00AD7D1E" w:rsidRDefault="00EB1CB7" w:rsidP="00EB1CB7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AD7D1E">
        <w:rPr>
          <w:rFonts w:eastAsia="바탕"/>
          <w:b/>
          <w:i/>
          <w:sz w:val="22"/>
          <w:szCs w:val="22"/>
          <w:lang w:eastAsia="ko-KR"/>
        </w:rPr>
        <w:t>Observation 1: If a separate initial BWP is configured, RedCap UE could not perform RACH on the legacy initial BWP because the legacy initial UL BWP for non-RedCap UEs is wider than the maximum RedCap UE bandwidth.</w:t>
      </w:r>
    </w:p>
    <w:p w14:paraId="6B879DB2" w14:textId="2C697080" w:rsidR="00CA4290" w:rsidRPr="00AD7D1E" w:rsidRDefault="00EB1CB7" w:rsidP="00EB1CB7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AD7D1E">
        <w:rPr>
          <w:rFonts w:eastAsia="바탕"/>
          <w:b/>
          <w:i/>
          <w:sz w:val="22"/>
          <w:szCs w:val="22"/>
          <w:lang w:eastAsia="ko-KR"/>
        </w:rPr>
        <w:t xml:space="preserve">Proposal 1: </w:t>
      </w:r>
      <w:r w:rsidR="00CA4290" w:rsidRPr="00AD7D1E">
        <w:rPr>
          <w:rFonts w:eastAsia="바탕"/>
          <w:b/>
          <w:i/>
          <w:sz w:val="22"/>
          <w:szCs w:val="22"/>
          <w:lang w:eastAsia="ko-KR"/>
        </w:rPr>
        <w:t xml:space="preserve">Clarify whether RedCap UE </w:t>
      </w:r>
      <w:r w:rsidR="00F27620">
        <w:rPr>
          <w:rFonts w:eastAsia="바탕"/>
          <w:b/>
          <w:i/>
          <w:sz w:val="22"/>
          <w:szCs w:val="22"/>
          <w:lang w:eastAsia="ko-KR"/>
        </w:rPr>
        <w:t>can support</w:t>
      </w:r>
      <w:bookmarkStart w:id="0" w:name="_GoBack"/>
      <w:bookmarkEnd w:id="0"/>
      <w:r w:rsidR="00CA4290" w:rsidRPr="00AD7D1E">
        <w:rPr>
          <w:rFonts w:eastAsia="바탕"/>
          <w:b/>
          <w:i/>
          <w:sz w:val="22"/>
          <w:szCs w:val="22"/>
          <w:lang w:eastAsia="ko-KR"/>
        </w:rPr>
        <w:t xml:space="preserve"> RA-SDT in Rel-17.</w:t>
      </w:r>
    </w:p>
    <w:p w14:paraId="6F3BE34A" w14:textId="0B9C264F" w:rsidR="00EB1CB7" w:rsidRPr="00AD7D1E" w:rsidRDefault="00CA4290" w:rsidP="00EB1CB7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AD7D1E">
        <w:rPr>
          <w:rFonts w:eastAsia="바탕"/>
          <w:b/>
          <w:i/>
          <w:sz w:val="22"/>
          <w:szCs w:val="22"/>
          <w:lang w:eastAsia="ko-KR"/>
        </w:rPr>
        <w:t xml:space="preserve">Proposal 2: </w:t>
      </w:r>
      <w:r w:rsidR="00790EF9" w:rsidRPr="00AD7D1E">
        <w:rPr>
          <w:rFonts w:eastAsia="바탕"/>
          <w:b/>
          <w:i/>
          <w:sz w:val="22"/>
          <w:szCs w:val="22"/>
          <w:lang w:eastAsia="ko-KR"/>
        </w:rPr>
        <w:t xml:space="preserve">Discuss whether RA-SDT </w:t>
      </w:r>
      <w:r w:rsidRPr="00AD7D1E">
        <w:rPr>
          <w:rFonts w:eastAsia="바탕"/>
          <w:b/>
          <w:i/>
          <w:sz w:val="22"/>
          <w:szCs w:val="22"/>
          <w:lang w:eastAsia="ko-KR"/>
        </w:rPr>
        <w:t>can be</w:t>
      </w:r>
      <w:r w:rsidR="00790EF9" w:rsidRPr="00AD7D1E">
        <w:rPr>
          <w:rFonts w:eastAsia="바탕"/>
          <w:b/>
          <w:i/>
          <w:sz w:val="22"/>
          <w:szCs w:val="22"/>
          <w:lang w:eastAsia="ko-KR"/>
        </w:rPr>
        <w:t xml:space="preserve"> supported </w:t>
      </w:r>
      <w:r w:rsidRPr="00AD7D1E">
        <w:rPr>
          <w:rFonts w:eastAsia="바탕"/>
          <w:b/>
          <w:i/>
          <w:sz w:val="22"/>
          <w:szCs w:val="22"/>
          <w:lang w:eastAsia="ko-KR"/>
        </w:rPr>
        <w:t>in</w:t>
      </w:r>
      <w:r w:rsidR="00790EF9" w:rsidRPr="00AD7D1E">
        <w:rPr>
          <w:rFonts w:eastAsia="바탕"/>
          <w:b/>
          <w:i/>
          <w:sz w:val="22"/>
          <w:szCs w:val="22"/>
          <w:lang w:eastAsia="ko-KR"/>
        </w:rPr>
        <w:t xml:space="preserve"> a separate initial UL BWP for RedCap UEs.</w:t>
      </w:r>
    </w:p>
    <w:p w14:paraId="3BCF5055" w14:textId="77777777" w:rsidR="00EB1CB7" w:rsidRDefault="00EB1CB7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163CD9E2" w14:textId="77777777" w:rsidR="00CA4290" w:rsidRDefault="00EB1CB7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addition, it is unclear whether gNB can configure CG-SDT for </w:t>
      </w:r>
      <w:r w:rsidRPr="00EB1CB7">
        <w:rPr>
          <w:rFonts w:eastAsia="바탕"/>
          <w:sz w:val="22"/>
          <w:szCs w:val="22"/>
          <w:lang w:eastAsia="ko-KR"/>
        </w:rPr>
        <w:t>a separate initial UL BWP for RedCap UEs</w:t>
      </w:r>
      <w:r>
        <w:rPr>
          <w:rFonts w:eastAsia="바탕"/>
          <w:sz w:val="22"/>
          <w:szCs w:val="22"/>
          <w:lang w:eastAsia="ko-KR"/>
        </w:rPr>
        <w:t xml:space="preserve">. In other words, it is unclear whether RedCap UE can perform CG-SDT in </w:t>
      </w:r>
      <w:r w:rsidRPr="00EB1CB7">
        <w:rPr>
          <w:rFonts w:eastAsia="바탕"/>
          <w:sz w:val="22"/>
          <w:szCs w:val="22"/>
          <w:lang w:eastAsia="ko-KR"/>
        </w:rPr>
        <w:t>a separate initial UL BWP for RedCap UEs</w:t>
      </w:r>
      <w:r>
        <w:rPr>
          <w:rFonts w:eastAsia="바탕"/>
          <w:sz w:val="22"/>
          <w:szCs w:val="22"/>
          <w:lang w:eastAsia="ko-KR"/>
        </w:rPr>
        <w:t>.</w:t>
      </w:r>
      <w:r w:rsidR="00790EF9" w:rsidRPr="00790EF9">
        <w:rPr>
          <w:rFonts w:eastAsia="바탕"/>
          <w:sz w:val="22"/>
          <w:szCs w:val="22"/>
          <w:lang w:eastAsia="ko-KR"/>
        </w:rPr>
        <w:t xml:space="preserve"> </w:t>
      </w:r>
    </w:p>
    <w:p w14:paraId="30AB499E" w14:textId="5BB54F07" w:rsidR="00CA4290" w:rsidRDefault="00CA4290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Accordingly, RAN1 could also clarify whether RedCap UE supports CG-SDT in Rel-17. If RedCap UE supports CG-SDT in Rel-17, RAN1 could further d</w:t>
      </w:r>
      <w:r w:rsidRPr="00790EF9">
        <w:rPr>
          <w:rFonts w:eastAsia="바탕"/>
          <w:sz w:val="22"/>
          <w:szCs w:val="22"/>
          <w:lang w:eastAsia="ko-KR"/>
        </w:rPr>
        <w:t xml:space="preserve">iscuss whether </w:t>
      </w:r>
      <w:r>
        <w:rPr>
          <w:rFonts w:eastAsia="바탕"/>
          <w:sz w:val="22"/>
          <w:szCs w:val="22"/>
          <w:lang w:eastAsia="ko-KR"/>
        </w:rPr>
        <w:t>CG</w:t>
      </w:r>
      <w:r w:rsidRPr="00790EF9">
        <w:rPr>
          <w:rFonts w:eastAsia="바탕"/>
          <w:sz w:val="22"/>
          <w:szCs w:val="22"/>
          <w:lang w:eastAsia="ko-KR"/>
        </w:rPr>
        <w:t xml:space="preserve">-SDT </w:t>
      </w:r>
      <w:r>
        <w:rPr>
          <w:rFonts w:eastAsia="바탕"/>
          <w:sz w:val="22"/>
          <w:szCs w:val="22"/>
          <w:lang w:eastAsia="ko-KR"/>
        </w:rPr>
        <w:t>can be</w:t>
      </w:r>
      <w:r w:rsidRPr="00790EF9">
        <w:rPr>
          <w:rFonts w:eastAsia="바탕"/>
          <w:sz w:val="22"/>
          <w:szCs w:val="22"/>
          <w:lang w:eastAsia="ko-KR"/>
        </w:rPr>
        <w:t xml:space="preserve"> supported </w:t>
      </w:r>
      <w:r>
        <w:rPr>
          <w:rFonts w:eastAsia="바탕"/>
          <w:sz w:val="22"/>
          <w:szCs w:val="22"/>
          <w:lang w:eastAsia="ko-KR"/>
        </w:rPr>
        <w:t>in</w:t>
      </w:r>
      <w:r w:rsidRPr="00790EF9">
        <w:rPr>
          <w:rFonts w:eastAsia="바탕"/>
          <w:sz w:val="22"/>
          <w:szCs w:val="22"/>
          <w:lang w:eastAsia="ko-KR"/>
        </w:rPr>
        <w:t xml:space="preserve"> a separate initial UL BWP for RedCap UEs.</w:t>
      </w:r>
    </w:p>
    <w:p w14:paraId="273FA25D" w14:textId="4FBD4C38" w:rsidR="00CA4290" w:rsidRPr="00AD7D1E" w:rsidRDefault="00CA4290" w:rsidP="00CA4290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AD7D1E">
        <w:rPr>
          <w:rFonts w:eastAsia="바탕"/>
          <w:b/>
          <w:i/>
          <w:sz w:val="22"/>
          <w:szCs w:val="22"/>
          <w:lang w:eastAsia="ko-KR"/>
        </w:rPr>
        <w:t xml:space="preserve">Proposal 3: Clarify whether RedCap UE </w:t>
      </w:r>
      <w:r w:rsidR="00F27620">
        <w:rPr>
          <w:rFonts w:eastAsia="바탕"/>
          <w:b/>
          <w:i/>
          <w:sz w:val="22"/>
          <w:szCs w:val="22"/>
          <w:lang w:eastAsia="ko-KR"/>
        </w:rPr>
        <w:t>can support</w:t>
      </w:r>
      <w:r w:rsidRPr="00AD7D1E">
        <w:rPr>
          <w:rFonts w:eastAsia="바탕"/>
          <w:b/>
          <w:i/>
          <w:sz w:val="22"/>
          <w:szCs w:val="22"/>
          <w:lang w:eastAsia="ko-KR"/>
        </w:rPr>
        <w:t xml:space="preserve"> CG-SDT in Rel-17.</w:t>
      </w:r>
    </w:p>
    <w:p w14:paraId="3D825A59" w14:textId="7D9BBBF9" w:rsidR="00EB1CB7" w:rsidRPr="00AD7D1E" w:rsidRDefault="00CA4290" w:rsidP="00EB1CB7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AD7D1E">
        <w:rPr>
          <w:rFonts w:eastAsia="바탕"/>
          <w:b/>
          <w:i/>
          <w:sz w:val="22"/>
          <w:szCs w:val="22"/>
          <w:lang w:eastAsia="ko-KR"/>
        </w:rPr>
        <w:t>Proposal 4</w:t>
      </w:r>
      <w:r w:rsidR="00EB1CB7" w:rsidRPr="00AD7D1E">
        <w:rPr>
          <w:rFonts w:eastAsia="바탕"/>
          <w:b/>
          <w:i/>
          <w:sz w:val="22"/>
          <w:szCs w:val="22"/>
          <w:lang w:eastAsia="ko-KR"/>
        </w:rPr>
        <w:t xml:space="preserve">: </w:t>
      </w:r>
      <w:r w:rsidR="00790EF9" w:rsidRPr="00AD7D1E">
        <w:rPr>
          <w:rFonts w:eastAsia="바탕"/>
          <w:b/>
          <w:i/>
          <w:sz w:val="22"/>
          <w:szCs w:val="22"/>
          <w:lang w:eastAsia="ko-KR"/>
        </w:rPr>
        <w:t xml:space="preserve">Discuss whether CG-SDT </w:t>
      </w:r>
      <w:r w:rsidRPr="00AD7D1E">
        <w:rPr>
          <w:rFonts w:eastAsia="바탕"/>
          <w:b/>
          <w:i/>
          <w:sz w:val="22"/>
          <w:szCs w:val="22"/>
          <w:lang w:eastAsia="ko-KR"/>
        </w:rPr>
        <w:t>can be</w:t>
      </w:r>
      <w:r w:rsidR="00790EF9" w:rsidRPr="00AD7D1E">
        <w:rPr>
          <w:rFonts w:eastAsia="바탕"/>
          <w:b/>
          <w:i/>
          <w:sz w:val="22"/>
          <w:szCs w:val="22"/>
          <w:lang w:eastAsia="ko-KR"/>
        </w:rPr>
        <w:t xml:space="preserve"> supported </w:t>
      </w:r>
      <w:r w:rsidRPr="00AD7D1E">
        <w:rPr>
          <w:rFonts w:eastAsia="바탕"/>
          <w:b/>
          <w:i/>
          <w:sz w:val="22"/>
          <w:szCs w:val="22"/>
          <w:lang w:eastAsia="ko-KR"/>
        </w:rPr>
        <w:t>in</w:t>
      </w:r>
      <w:r w:rsidR="00790EF9" w:rsidRPr="00AD7D1E">
        <w:rPr>
          <w:rFonts w:eastAsia="바탕"/>
          <w:b/>
          <w:i/>
          <w:sz w:val="22"/>
          <w:szCs w:val="22"/>
          <w:lang w:eastAsia="ko-KR"/>
        </w:rPr>
        <w:t xml:space="preserve"> a separate initial UL BWP for RedCap UEs.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59938FC9" w:rsidR="0091440D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 w:rsidR="00CE26FF">
        <w:rPr>
          <w:rFonts w:eastAsia="바탕"/>
          <w:sz w:val="22"/>
          <w:szCs w:val="22"/>
          <w:lang w:eastAsia="ko-KR"/>
        </w:rPr>
        <w:t xml:space="preserve">propose </w:t>
      </w:r>
      <w:r w:rsidR="00466121">
        <w:rPr>
          <w:rFonts w:eastAsia="바탕"/>
          <w:sz w:val="22"/>
          <w:szCs w:val="22"/>
          <w:lang w:eastAsia="ko-KR"/>
        </w:rPr>
        <w:t>the following proposals for</w:t>
      </w:r>
      <w:r w:rsidR="00CE26FF">
        <w:rPr>
          <w:rFonts w:eastAsia="바탕"/>
          <w:sz w:val="22"/>
          <w:szCs w:val="22"/>
          <w:lang w:eastAsia="ko-KR"/>
        </w:rPr>
        <w:t xml:space="preserve"> SDT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3FBF2FAA" w14:textId="778D1ED1" w:rsidR="00EB1CB7" w:rsidRPr="00AD7D1E" w:rsidRDefault="00EB1CB7" w:rsidP="00EB1CB7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AD7D1E">
        <w:rPr>
          <w:rFonts w:eastAsia="바탕"/>
          <w:b/>
          <w:i/>
          <w:sz w:val="22"/>
          <w:szCs w:val="22"/>
          <w:lang w:eastAsia="ko-KR"/>
        </w:rPr>
        <w:t>Observation 1: If a separate initial BWP is configured, RedCap UE could not perform RACH on the legacy initial BWP because the legacy initial UL BWP for non-RedCap UEs is wider than the maximum RedCap UE bandwidth.</w:t>
      </w:r>
    </w:p>
    <w:p w14:paraId="3AFF2AF2" w14:textId="490F6896" w:rsidR="00BA060E" w:rsidRPr="00AD7D1E" w:rsidRDefault="00BA060E" w:rsidP="00BA060E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AD7D1E">
        <w:rPr>
          <w:rFonts w:eastAsia="바탕"/>
          <w:b/>
          <w:i/>
          <w:sz w:val="22"/>
          <w:szCs w:val="22"/>
          <w:lang w:eastAsia="ko-KR"/>
        </w:rPr>
        <w:t xml:space="preserve">Proposal 1: Clarify whether RedCap UE </w:t>
      </w:r>
      <w:r w:rsidR="00F27620">
        <w:rPr>
          <w:rFonts w:eastAsia="바탕"/>
          <w:b/>
          <w:i/>
          <w:sz w:val="22"/>
          <w:szCs w:val="22"/>
          <w:lang w:eastAsia="ko-KR"/>
        </w:rPr>
        <w:t>can support</w:t>
      </w:r>
      <w:r w:rsidRPr="00AD7D1E">
        <w:rPr>
          <w:rFonts w:eastAsia="바탕"/>
          <w:b/>
          <w:i/>
          <w:sz w:val="22"/>
          <w:szCs w:val="22"/>
          <w:lang w:eastAsia="ko-KR"/>
        </w:rPr>
        <w:t xml:space="preserve"> RA-SDT in Rel-17.</w:t>
      </w:r>
    </w:p>
    <w:p w14:paraId="6A1F52A3" w14:textId="77777777" w:rsidR="00BA060E" w:rsidRPr="00AD7D1E" w:rsidRDefault="00BA060E" w:rsidP="00BA060E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AD7D1E">
        <w:rPr>
          <w:rFonts w:eastAsia="바탕"/>
          <w:b/>
          <w:i/>
          <w:sz w:val="22"/>
          <w:szCs w:val="22"/>
          <w:lang w:eastAsia="ko-KR"/>
        </w:rPr>
        <w:t>Proposal 2: Discuss whether RA-SDT can be supported in a separate initial UL BWP for RedCap UEs.</w:t>
      </w:r>
    </w:p>
    <w:p w14:paraId="22810EE3" w14:textId="5D847FEA" w:rsidR="00BA060E" w:rsidRPr="00AD7D1E" w:rsidRDefault="00BA060E" w:rsidP="00BA060E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eastAsia="ko-KR"/>
        </w:rPr>
      </w:pPr>
      <w:r w:rsidRPr="00AD7D1E">
        <w:rPr>
          <w:rFonts w:eastAsia="바탕"/>
          <w:b/>
          <w:i/>
          <w:sz w:val="22"/>
          <w:szCs w:val="22"/>
          <w:lang w:eastAsia="ko-KR"/>
        </w:rPr>
        <w:t>Proposal 3: Cl</w:t>
      </w:r>
      <w:r w:rsidR="00F27620">
        <w:rPr>
          <w:rFonts w:eastAsia="바탕"/>
          <w:b/>
          <w:i/>
          <w:sz w:val="22"/>
          <w:szCs w:val="22"/>
          <w:lang w:eastAsia="ko-KR"/>
        </w:rPr>
        <w:t>arify whether RedCap UE can support</w:t>
      </w:r>
      <w:r w:rsidRPr="00AD7D1E">
        <w:rPr>
          <w:rFonts w:eastAsia="바탕"/>
          <w:b/>
          <w:i/>
          <w:sz w:val="22"/>
          <w:szCs w:val="22"/>
          <w:lang w:eastAsia="ko-KR"/>
        </w:rPr>
        <w:t xml:space="preserve"> CG-SDT in Rel-17.</w:t>
      </w:r>
    </w:p>
    <w:p w14:paraId="488409CB" w14:textId="3EFF9A0E" w:rsidR="00BF245B" w:rsidRPr="00AD7D1E" w:rsidRDefault="00BA060E" w:rsidP="00E315B7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i/>
          <w:sz w:val="22"/>
          <w:szCs w:val="22"/>
          <w:lang w:eastAsia="ko-KR"/>
        </w:rPr>
      </w:pPr>
      <w:r w:rsidRPr="00AD7D1E">
        <w:rPr>
          <w:rFonts w:eastAsia="바탕"/>
          <w:b/>
          <w:i/>
          <w:sz w:val="22"/>
          <w:szCs w:val="22"/>
          <w:lang w:eastAsia="ko-KR"/>
        </w:rPr>
        <w:t>Proposal 4: Discuss whether CG-SDT can be supported in a separate initial UL BWP for RedCap UEs.</w:t>
      </w:r>
    </w:p>
    <w:sectPr w:rsidR="00BF245B" w:rsidRPr="00AD7D1E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8CCE2" w14:textId="77777777" w:rsidR="004C3CDF" w:rsidRDefault="004C3CDF" w:rsidP="00CB15B0">
      <w:pPr>
        <w:spacing w:before="0" w:after="0" w:line="240" w:lineRule="auto"/>
      </w:pPr>
      <w:r>
        <w:separator/>
      </w:r>
    </w:p>
  </w:endnote>
  <w:endnote w:type="continuationSeparator" w:id="0">
    <w:p w14:paraId="7B28FACD" w14:textId="77777777" w:rsidR="004C3CDF" w:rsidRDefault="004C3CD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19A0D" w14:textId="77777777" w:rsidR="004C3CDF" w:rsidRDefault="004C3CD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548FE572" w14:textId="77777777" w:rsidR="004C3CDF" w:rsidRDefault="004C3CD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7DF0"/>
    <w:multiLevelType w:val="hybridMultilevel"/>
    <w:tmpl w:val="6EB0E2E0"/>
    <w:lvl w:ilvl="0" w:tplc="04090001">
      <w:start w:val="1"/>
      <w:numFmt w:val="bullet"/>
      <w:lvlText w:val="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66F4CA5"/>
    <w:multiLevelType w:val="hybridMultilevel"/>
    <w:tmpl w:val="8B60506C"/>
    <w:lvl w:ilvl="0" w:tplc="F05CB92E">
      <w:start w:val="2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5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FC1F58"/>
    <w:multiLevelType w:val="hybridMultilevel"/>
    <w:tmpl w:val="787EF3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20D8BE"/>
    <w:multiLevelType w:val="multilevel"/>
    <w:tmpl w:val="3820D8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2">
    <w:nsid w:val="3D7200A9"/>
    <w:multiLevelType w:val="hybridMultilevel"/>
    <w:tmpl w:val="2948060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>
    <w:nsid w:val="51E46A6B"/>
    <w:multiLevelType w:val="hybridMultilevel"/>
    <w:tmpl w:val="D83C027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9">
    <w:nsid w:val="68C8064D"/>
    <w:multiLevelType w:val="hybridMultilevel"/>
    <w:tmpl w:val="C818CABE"/>
    <w:lvl w:ilvl="0" w:tplc="7A3CE806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0">
    <w:nsid w:val="69437BB3"/>
    <w:multiLevelType w:val="hybridMultilevel"/>
    <w:tmpl w:val="A3BA8F0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F0F986">
      <w:numFmt w:val="bullet"/>
      <w:lvlText w:val=""/>
      <w:lvlJc w:val="left"/>
      <w:pPr>
        <w:ind w:left="1839" w:hanging="579"/>
      </w:pPr>
      <w:rPr>
        <w:rFonts w:ascii="Wingdings" w:eastAsia="바탕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D528AE0"/>
    <w:multiLevelType w:val="multilevel"/>
    <w:tmpl w:val="7D528A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8"/>
  </w:num>
  <w:num w:numId="4">
    <w:abstractNumId w:val="3"/>
  </w:num>
  <w:num w:numId="5">
    <w:abstractNumId w:val="15"/>
  </w:num>
  <w:num w:numId="6">
    <w:abstractNumId w:val="21"/>
  </w:num>
  <w:num w:numId="7">
    <w:abstractNumId w:val="13"/>
  </w:num>
  <w:num w:numId="8">
    <w:abstractNumId w:val="3"/>
  </w:num>
  <w:num w:numId="9">
    <w:abstractNumId w:val="7"/>
  </w:num>
  <w:num w:numId="10">
    <w:abstractNumId w:val="8"/>
  </w:num>
  <w:num w:numId="11">
    <w:abstractNumId w:val="9"/>
  </w:num>
  <w:num w:numId="12">
    <w:abstractNumId w:val="20"/>
  </w:num>
  <w:num w:numId="13">
    <w:abstractNumId w:val="17"/>
  </w:num>
  <w:num w:numId="14">
    <w:abstractNumId w:val="19"/>
  </w:num>
  <w:num w:numId="15">
    <w:abstractNumId w:val="1"/>
  </w:num>
  <w:num w:numId="16">
    <w:abstractNumId w:val="6"/>
  </w:num>
  <w:num w:numId="17">
    <w:abstractNumId w:val="3"/>
  </w:num>
  <w:num w:numId="18">
    <w:abstractNumId w:val="6"/>
  </w:num>
  <w:num w:numId="19">
    <w:abstractNumId w:val="3"/>
  </w:num>
  <w:num w:numId="20">
    <w:abstractNumId w:val="2"/>
  </w:num>
  <w:num w:numId="21">
    <w:abstractNumId w:val="14"/>
  </w:num>
  <w:num w:numId="22">
    <w:abstractNumId w:val="3"/>
  </w:num>
  <w:num w:numId="23">
    <w:abstractNumId w:val="16"/>
  </w:num>
  <w:num w:numId="24">
    <w:abstractNumId w:val="12"/>
  </w:num>
  <w:num w:numId="25">
    <w:abstractNumId w:val="22"/>
  </w:num>
  <w:num w:numId="26">
    <w:abstractNumId w:val="10"/>
  </w:num>
  <w:num w:numId="27">
    <w:abstractNumId w:val="5"/>
  </w:num>
  <w:num w:numId="28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01F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89A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53A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6758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1F1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747"/>
    <w:rsid w:val="000B2A7E"/>
    <w:rsid w:val="000B30BD"/>
    <w:rsid w:val="000B321E"/>
    <w:rsid w:val="000B33E8"/>
    <w:rsid w:val="000B3410"/>
    <w:rsid w:val="000B3608"/>
    <w:rsid w:val="000B3D69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96A"/>
    <w:rsid w:val="000F5BC1"/>
    <w:rsid w:val="000F5FFD"/>
    <w:rsid w:val="000F6195"/>
    <w:rsid w:val="000F66B8"/>
    <w:rsid w:val="000F6A4D"/>
    <w:rsid w:val="000F6AEF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1F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1D8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10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5B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7C5"/>
    <w:rsid w:val="001B096C"/>
    <w:rsid w:val="001B0E30"/>
    <w:rsid w:val="001B0E41"/>
    <w:rsid w:val="001B10E2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1F7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2B8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01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221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4EA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69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1CE"/>
    <w:rsid w:val="0023440B"/>
    <w:rsid w:val="002347E6"/>
    <w:rsid w:val="002352DD"/>
    <w:rsid w:val="00235396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8CC"/>
    <w:rsid w:val="00267D6C"/>
    <w:rsid w:val="002706C6"/>
    <w:rsid w:val="00270EF9"/>
    <w:rsid w:val="00271F85"/>
    <w:rsid w:val="0027224D"/>
    <w:rsid w:val="00272632"/>
    <w:rsid w:val="0027491D"/>
    <w:rsid w:val="002749B8"/>
    <w:rsid w:val="00276581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97F3F"/>
    <w:rsid w:val="002A0CDD"/>
    <w:rsid w:val="002A18D0"/>
    <w:rsid w:val="002A2018"/>
    <w:rsid w:val="002A2038"/>
    <w:rsid w:val="002A2AE5"/>
    <w:rsid w:val="002A2D36"/>
    <w:rsid w:val="002A362A"/>
    <w:rsid w:val="002A3F1F"/>
    <w:rsid w:val="002A42F5"/>
    <w:rsid w:val="002A4724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392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02"/>
    <w:rsid w:val="002C2BE8"/>
    <w:rsid w:val="002C2DDD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1B78"/>
    <w:rsid w:val="002E220D"/>
    <w:rsid w:val="002E244F"/>
    <w:rsid w:val="002E2665"/>
    <w:rsid w:val="002E2B12"/>
    <w:rsid w:val="002E2B5C"/>
    <w:rsid w:val="002E2FC0"/>
    <w:rsid w:val="002E3296"/>
    <w:rsid w:val="002E37C3"/>
    <w:rsid w:val="002E3AE2"/>
    <w:rsid w:val="002E3F11"/>
    <w:rsid w:val="002E421E"/>
    <w:rsid w:val="002E519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98A"/>
    <w:rsid w:val="00303B37"/>
    <w:rsid w:val="00303BCA"/>
    <w:rsid w:val="00303E9E"/>
    <w:rsid w:val="003049E9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204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26D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36D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3E0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A15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404C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3F1"/>
    <w:rsid w:val="00443766"/>
    <w:rsid w:val="0044388D"/>
    <w:rsid w:val="00443C47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4B3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1D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121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09D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3CDF"/>
    <w:rsid w:val="004C4243"/>
    <w:rsid w:val="004C44F7"/>
    <w:rsid w:val="004C50D3"/>
    <w:rsid w:val="004C5230"/>
    <w:rsid w:val="004C5449"/>
    <w:rsid w:val="004C57A2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AE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0C8"/>
    <w:rsid w:val="004E66E1"/>
    <w:rsid w:val="004E6B76"/>
    <w:rsid w:val="004E78D9"/>
    <w:rsid w:val="004F04CF"/>
    <w:rsid w:val="004F0999"/>
    <w:rsid w:val="004F0BEB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10D"/>
    <w:rsid w:val="004F65B3"/>
    <w:rsid w:val="004F6974"/>
    <w:rsid w:val="004F6B77"/>
    <w:rsid w:val="004F761F"/>
    <w:rsid w:val="004F7631"/>
    <w:rsid w:val="004F766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45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6D3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42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1A9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6B9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307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EEE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50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6F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99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8C0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B9F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87C7C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8F4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D84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6F5D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77A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0EF9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EE7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2C8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04F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9F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0C1"/>
    <w:rsid w:val="00813616"/>
    <w:rsid w:val="00813AD1"/>
    <w:rsid w:val="00813D35"/>
    <w:rsid w:val="00813FB0"/>
    <w:rsid w:val="0081461D"/>
    <w:rsid w:val="00814796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CC6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BB2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3EB8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BD1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3812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1BF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4C2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4CA"/>
    <w:rsid w:val="00925639"/>
    <w:rsid w:val="00925989"/>
    <w:rsid w:val="00925DD2"/>
    <w:rsid w:val="00925DE8"/>
    <w:rsid w:val="0092617F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2C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6C66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87EAF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0C0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8AC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529A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D1B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C57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0CEC"/>
    <w:rsid w:val="00A11085"/>
    <w:rsid w:val="00A116A6"/>
    <w:rsid w:val="00A12D35"/>
    <w:rsid w:val="00A13022"/>
    <w:rsid w:val="00A130D9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B75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3AC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398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5C1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3A8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776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036"/>
    <w:rsid w:val="00AB4229"/>
    <w:rsid w:val="00AB44C3"/>
    <w:rsid w:val="00AB450D"/>
    <w:rsid w:val="00AB4627"/>
    <w:rsid w:val="00AB4991"/>
    <w:rsid w:val="00AB5264"/>
    <w:rsid w:val="00AB54B3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D1E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3A6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62"/>
    <w:rsid w:val="00B153DD"/>
    <w:rsid w:val="00B16293"/>
    <w:rsid w:val="00B16E92"/>
    <w:rsid w:val="00B170A9"/>
    <w:rsid w:val="00B17B43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1F3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91D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60E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B63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45B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3FD8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290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6FF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4C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1D42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A92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C86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5BDC"/>
    <w:rsid w:val="00D85E48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7B4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4DC8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83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15B7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3D9"/>
    <w:rsid w:val="00E807B0"/>
    <w:rsid w:val="00E80C0B"/>
    <w:rsid w:val="00E8118F"/>
    <w:rsid w:val="00E81981"/>
    <w:rsid w:val="00E82676"/>
    <w:rsid w:val="00E82EDE"/>
    <w:rsid w:val="00E8336F"/>
    <w:rsid w:val="00E83A81"/>
    <w:rsid w:val="00E83E63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2EF9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281"/>
    <w:rsid w:val="00EB0352"/>
    <w:rsid w:val="00EB1147"/>
    <w:rsid w:val="00EB1284"/>
    <w:rsid w:val="00EB12C0"/>
    <w:rsid w:val="00EB18E3"/>
    <w:rsid w:val="00EB1CB7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047"/>
    <w:rsid w:val="00F03302"/>
    <w:rsid w:val="00F0360E"/>
    <w:rsid w:val="00F04171"/>
    <w:rsid w:val="00F04FD0"/>
    <w:rsid w:val="00F0527B"/>
    <w:rsid w:val="00F055CD"/>
    <w:rsid w:val="00F05C4D"/>
    <w:rsid w:val="00F067A2"/>
    <w:rsid w:val="00F069BD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1F0A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6F98"/>
    <w:rsid w:val="00F270B4"/>
    <w:rsid w:val="00F2738F"/>
    <w:rsid w:val="00F27620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7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3C3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7A5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4D59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3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C4C12F-6723-4171-AA60-1171FEF0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6</cp:revision>
  <cp:lastPrinted>2018-11-01T13:47:00Z</cp:lastPrinted>
  <dcterms:created xsi:type="dcterms:W3CDTF">2021-11-05T13:42:00Z</dcterms:created>
  <dcterms:modified xsi:type="dcterms:W3CDTF">2021-11-05T16:21:00Z</dcterms:modified>
</cp:coreProperties>
</file>